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2372CC5" w:rsidR="00C32E34" w:rsidRPr="009D1F3B" w:rsidRDefault="005216E5" w:rsidP="009657B8">
            <w:pPr>
              <w:rPr>
                <w:rFonts w:cstheme="minorHAnsi"/>
                <w:color w:val="000000" w:themeColor="text1"/>
                <w:lang w:val="en-US"/>
              </w:rPr>
            </w:pPr>
            <w:r w:rsidRPr="00A853E0">
              <w:rPr>
                <w:rFonts w:cstheme="minorHAnsi"/>
                <w:lang w:val="en-US"/>
              </w:rPr>
              <w:t>carbohydrate quality</w:t>
            </w:r>
          </w:p>
        </w:tc>
        <w:tc>
          <w:tcPr>
            <w:tcW w:w="4449" w:type="dxa"/>
          </w:tcPr>
          <w:p w14:paraId="0BC73C5D" w14:textId="318545CE" w:rsidR="00C32E34" w:rsidRPr="009D1F3B" w:rsidRDefault="005216E5" w:rsidP="009657B8">
            <w:pPr>
              <w:rPr>
                <w:rFonts w:cstheme="minorHAnsi"/>
                <w:color w:val="000000" w:themeColor="text1"/>
                <w:lang w:val="en-US"/>
              </w:rPr>
            </w:pPr>
            <w:r w:rsidRPr="00A853E0">
              <w:rPr>
                <w:rFonts w:cstheme="minorHAnsi"/>
              </w:rPr>
              <w:t>calidad de los carbohidratos</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1D9B9B6" w:rsidR="00C32E34" w:rsidRPr="005216E5" w:rsidRDefault="005216E5" w:rsidP="005216E5">
            <w:pPr>
              <w:spacing w:line="360" w:lineRule="auto"/>
              <w:rPr>
                <w:rFonts w:cstheme="minorHAnsi"/>
                <w:lang w:val="en-US"/>
              </w:rPr>
            </w:pPr>
            <w:r w:rsidRPr="00A853E0">
              <w:rPr>
                <w:rFonts w:cstheme="minorHAnsi"/>
                <w:lang w:val="en-US"/>
              </w:rPr>
              <w:t xml:space="preserve">dietary </w:t>
            </w:r>
            <w:proofErr w:type="spellStart"/>
            <w:r w:rsidRPr="00A853E0">
              <w:rPr>
                <w:rFonts w:cstheme="minorHAnsi"/>
                <w:lang w:val="en-US"/>
              </w:rPr>
              <w:t>fibre</w:t>
            </w:r>
            <w:proofErr w:type="spellEnd"/>
          </w:p>
        </w:tc>
        <w:tc>
          <w:tcPr>
            <w:tcW w:w="4449" w:type="dxa"/>
          </w:tcPr>
          <w:p w14:paraId="1479DEB3" w14:textId="4C04F865" w:rsidR="00C32E34" w:rsidRPr="000C67EA" w:rsidRDefault="005216E5" w:rsidP="009657B8">
            <w:pPr>
              <w:rPr>
                <w:rFonts w:cstheme="minorHAnsi"/>
                <w:color w:val="000000" w:themeColor="text1"/>
              </w:rPr>
            </w:pPr>
            <w:r>
              <w:rPr>
                <w:rFonts w:cstheme="minorHAnsi"/>
                <w:color w:val="000000" w:themeColor="text1"/>
              </w:rPr>
              <w:t>Fibra alimentaria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7DAA02F9" w:rsidR="00C32E34" w:rsidRDefault="005216E5" w:rsidP="009657B8">
            <w:pPr>
              <w:rPr>
                <w:rFonts w:cstheme="minorHAnsi"/>
                <w:color w:val="000000" w:themeColor="text1"/>
                <w:lang w:val="en-US"/>
              </w:rPr>
            </w:pPr>
            <w:r w:rsidRPr="00A853E0">
              <w:rPr>
                <w:rFonts w:cstheme="minorHAnsi"/>
                <w:lang w:val="en-US"/>
              </w:rPr>
              <w:t>bias assessment</w:t>
            </w:r>
          </w:p>
        </w:tc>
        <w:tc>
          <w:tcPr>
            <w:tcW w:w="4449" w:type="dxa"/>
          </w:tcPr>
          <w:p w14:paraId="39141B9D" w14:textId="2B441783" w:rsidR="00C32E34" w:rsidRDefault="005216E5" w:rsidP="009657B8">
            <w:pPr>
              <w:rPr>
                <w:rFonts w:cstheme="minorHAnsi"/>
                <w:color w:val="000000" w:themeColor="text1"/>
                <w:lang w:val="en-US"/>
              </w:rPr>
            </w:pPr>
            <w:r w:rsidRPr="00A853E0">
              <w:rPr>
                <w:rFonts w:cstheme="minorHAnsi"/>
              </w:rPr>
              <w:t>evaluación de sesgos</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9F9C029" w:rsidR="00C32E34" w:rsidRDefault="005216E5" w:rsidP="009657B8">
            <w:pPr>
              <w:rPr>
                <w:rFonts w:cstheme="minorHAnsi"/>
                <w:color w:val="000000" w:themeColor="text1"/>
                <w:lang w:val="en-US"/>
              </w:rPr>
            </w:pPr>
            <w:proofErr w:type="spellStart"/>
            <w:r w:rsidRPr="00A853E0">
              <w:rPr>
                <w:rFonts w:cstheme="minorHAnsi"/>
                <w:lang w:val="en-US"/>
              </w:rPr>
              <w:t>glycaemic</w:t>
            </w:r>
            <w:proofErr w:type="spellEnd"/>
            <w:r w:rsidRPr="00A853E0">
              <w:rPr>
                <w:rFonts w:cstheme="minorHAnsi"/>
                <w:lang w:val="en-US"/>
              </w:rPr>
              <w:t xml:space="preserve"> index</w:t>
            </w:r>
          </w:p>
        </w:tc>
        <w:tc>
          <w:tcPr>
            <w:tcW w:w="4449" w:type="dxa"/>
          </w:tcPr>
          <w:p w14:paraId="09A4F8BB" w14:textId="56DE38B9" w:rsidR="00C32E34" w:rsidRDefault="005216E5" w:rsidP="009657B8">
            <w:pPr>
              <w:rPr>
                <w:rFonts w:cstheme="minorHAnsi"/>
                <w:color w:val="000000" w:themeColor="text1"/>
                <w:lang w:val="en-US"/>
              </w:rPr>
            </w:pPr>
            <w:proofErr w:type="spellStart"/>
            <w:r>
              <w:rPr>
                <w:rFonts w:cstheme="minorHAnsi"/>
                <w:color w:val="000000" w:themeColor="text1"/>
                <w:lang w:val="en-US"/>
              </w:rPr>
              <w:t>Índice</w:t>
            </w:r>
            <w:proofErr w:type="spellEnd"/>
            <w:r>
              <w:rPr>
                <w:rFonts w:cstheme="minorHAnsi"/>
                <w:color w:val="000000" w:themeColor="text1"/>
                <w:lang w:val="en-US"/>
              </w:rPr>
              <w:t xml:space="preserve"> </w:t>
            </w:r>
            <w:proofErr w:type="spellStart"/>
            <w:r>
              <w:rPr>
                <w:rFonts w:cstheme="minorHAnsi"/>
                <w:color w:val="000000" w:themeColor="text1"/>
                <w:lang w:val="en-US"/>
              </w:rPr>
              <w:t>glucémico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11057" w:type="dxa"/>
        <w:tblInd w:w="-1281" w:type="dxa"/>
        <w:tblLook w:val="04A0" w:firstRow="1" w:lastRow="0" w:firstColumn="1" w:lastColumn="0" w:noHBand="0" w:noVBand="1"/>
      </w:tblPr>
      <w:tblGrid>
        <w:gridCol w:w="5387"/>
        <w:gridCol w:w="5670"/>
      </w:tblGrid>
      <w:tr w:rsidR="00472318" w:rsidRPr="00B832E6" w14:paraId="450D9B13" w14:textId="77777777" w:rsidTr="00C26054">
        <w:tc>
          <w:tcPr>
            <w:tcW w:w="5387"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670"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A853E0" w14:paraId="1D0BC489" w14:textId="77777777" w:rsidTr="00C26054">
        <w:tc>
          <w:tcPr>
            <w:tcW w:w="5387" w:type="dxa"/>
          </w:tcPr>
          <w:p w14:paraId="2D63B374" w14:textId="734E66C1" w:rsidR="00C26054" w:rsidRDefault="00C26054" w:rsidP="00C26054">
            <w:pPr>
              <w:jc w:val="center"/>
              <w:rPr>
                <w:rFonts w:cstheme="minorHAnsi"/>
                <w:lang w:val="en-US"/>
              </w:rPr>
            </w:pPr>
            <w:r w:rsidRPr="00A853E0">
              <w:rPr>
                <w:rFonts w:cstheme="minorHAnsi"/>
                <w:lang w:val="en-US"/>
              </w:rPr>
              <w:t xml:space="preserve">Carbohydrate quality and human health: a series of systematic reviews and meta-analyses </w:t>
            </w:r>
          </w:p>
          <w:p w14:paraId="21C8FA78" w14:textId="77777777" w:rsidR="0086047E" w:rsidRPr="00A853E0" w:rsidRDefault="0086047E" w:rsidP="00C26054">
            <w:pPr>
              <w:jc w:val="center"/>
              <w:rPr>
                <w:rFonts w:cstheme="minorHAnsi"/>
                <w:lang w:val="en-US"/>
              </w:rPr>
            </w:pPr>
          </w:p>
          <w:p w14:paraId="758F16F1" w14:textId="77777777" w:rsidR="00C26054" w:rsidRPr="00A853E0" w:rsidRDefault="00C26054" w:rsidP="00C26054">
            <w:pPr>
              <w:spacing w:line="360" w:lineRule="auto"/>
              <w:rPr>
                <w:rFonts w:cstheme="minorHAnsi"/>
                <w:lang w:val="en-US"/>
              </w:rPr>
            </w:pPr>
            <w:r w:rsidRPr="00A853E0">
              <w:rPr>
                <w:rFonts w:cstheme="minorHAnsi"/>
                <w:b/>
                <w:bCs/>
                <w:lang w:val="en-US"/>
              </w:rPr>
              <w:t>Background</w:t>
            </w:r>
            <w:r w:rsidRPr="00A853E0">
              <w:rPr>
                <w:rFonts w:cstheme="minorHAnsi"/>
                <w:lang w:val="en-US"/>
              </w:rPr>
              <w:t xml:space="preserve"> Previous systematic reviews and meta-analyses explaining the relationship between carbohydrate quality and health have usually examined a single marker and a limited number of clinical outcomes. We aimed to more precisely quantify the predictive potential of several markers, to determine which markers are most useful, and to establish an evidence base for </w:t>
            </w:r>
            <w:r w:rsidRPr="00A853E0">
              <w:rPr>
                <w:rFonts w:cstheme="minorHAnsi"/>
                <w:lang w:val="en-US"/>
              </w:rPr>
              <w:lastRenderedPageBreak/>
              <w:t xml:space="preserve">quantitative recommendations for intakes of dietary </w:t>
            </w:r>
            <w:proofErr w:type="spellStart"/>
            <w:r w:rsidRPr="00A853E0">
              <w:rPr>
                <w:rFonts w:cstheme="minorHAnsi"/>
                <w:lang w:val="en-US"/>
              </w:rPr>
              <w:t>fibre</w:t>
            </w:r>
            <w:proofErr w:type="spellEnd"/>
            <w:r w:rsidRPr="00A853E0">
              <w:rPr>
                <w:rFonts w:cstheme="minorHAnsi"/>
                <w:lang w:val="en-US"/>
              </w:rPr>
              <w:t xml:space="preserve">. </w:t>
            </w:r>
          </w:p>
          <w:p w14:paraId="0D7006C7" w14:textId="099A7AFB" w:rsidR="00C26054" w:rsidRPr="00A853E0" w:rsidRDefault="00C26054" w:rsidP="00C26054">
            <w:pPr>
              <w:spacing w:line="360" w:lineRule="auto"/>
              <w:rPr>
                <w:rFonts w:cstheme="minorHAnsi"/>
                <w:lang w:val="en-US"/>
              </w:rPr>
            </w:pPr>
            <w:r w:rsidRPr="00A853E0">
              <w:rPr>
                <w:rFonts w:cstheme="minorHAnsi"/>
                <w:b/>
                <w:bCs/>
                <w:lang w:val="en-US"/>
              </w:rPr>
              <w:t>Methods</w:t>
            </w:r>
            <w:r w:rsidRPr="00A853E0">
              <w:rPr>
                <w:rFonts w:cstheme="minorHAnsi"/>
                <w:lang w:val="en-US"/>
              </w:rPr>
              <w:t xml:space="preserve"> We did a series of systematic reviews and meta-analyses of prospective studies published from database inception to April 30, 2017, and </w:t>
            </w:r>
            <w:proofErr w:type="spellStart"/>
            <w:r w:rsidRPr="00A853E0">
              <w:rPr>
                <w:rFonts w:cstheme="minorHAnsi"/>
                <w:lang w:val="en-US"/>
              </w:rPr>
              <w:t>randomised</w:t>
            </w:r>
            <w:proofErr w:type="spellEnd"/>
            <w:r w:rsidRPr="00A853E0">
              <w:rPr>
                <w:rFonts w:cstheme="minorHAnsi"/>
                <w:lang w:val="en-US"/>
              </w:rPr>
              <w:t xml:space="preserve"> controlled trials published from database inception to Feb 28, 2018, which reported on indicators of carbohydrate quality and non-communicable disease incidence, mortality, and risk factors. Studies were identified by searches in PubMed, Ovid MEDLINE, Embase, and the Cochrane Central Register of Controlled Trials, and by hand searching of previous publications. We excluded prospective studies and trials reporting on participants with a chronic disease, and weight loss trials or trials involving supplements. Searches, data extraction, and bias assessment were duplicated independently. The GRADE approach was used to assess quality of evidence. </w:t>
            </w:r>
          </w:p>
          <w:p w14:paraId="1DC0B113" w14:textId="187D5303" w:rsidR="00C26054" w:rsidRPr="00A853E0" w:rsidRDefault="00C26054" w:rsidP="00C26054">
            <w:pPr>
              <w:spacing w:line="360" w:lineRule="auto"/>
              <w:rPr>
                <w:rFonts w:cstheme="minorHAnsi"/>
                <w:lang w:val="en-US"/>
              </w:rPr>
            </w:pPr>
            <w:r w:rsidRPr="00A853E0">
              <w:rPr>
                <w:rFonts w:cstheme="minorHAnsi"/>
                <w:b/>
                <w:bCs/>
                <w:lang w:val="en-US"/>
              </w:rPr>
              <w:t xml:space="preserve">Findings </w:t>
            </w:r>
            <w:r w:rsidRPr="00A853E0">
              <w:rPr>
                <w:rFonts w:cstheme="minorHAnsi"/>
                <w:lang w:val="en-US"/>
              </w:rPr>
              <w:t xml:space="preserve">Observational data suggest a 15–30% decrease in all-cause and cardiovascular related mortality, and incidence of coronary heart disease, stroke incidence and mortality, type 2 diabetes, and colorectal cancer when comparing the highest dietary </w:t>
            </w:r>
            <w:proofErr w:type="spellStart"/>
            <w:r w:rsidRPr="00A853E0">
              <w:rPr>
                <w:rFonts w:cstheme="minorHAnsi"/>
                <w:lang w:val="en-US"/>
              </w:rPr>
              <w:t>fibre</w:t>
            </w:r>
            <w:proofErr w:type="spellEnd"/>
            <w:r w:rsidRPr="00A853E0">
              <w:rPr>
                <w:rFonts w:cstheme="minorHAnsi"/>
                <w:lang w:val="en-US"/>
              </w:rPr>
              <w:t xml:space="preserve"> consumers with the lowest consumers</w:t>
            </w:r>
            <w:r w:rsidR="005216E5">
              <w:rPr>
                <w:rFonts w:cstheme="minorHAnsi"/>
                <w:lang w:val="en-US"/>
              </w:rPr>
              <w:t>.</w:t>
            </w:r>
            <w:r w:rsidRPr="00A853E0">
              <w:rPr>
                <w:rFonts w:cstheme="minorHAnsi"/>
                <w:lang w:val="en-US"/>
              </w:rPr>
              <w:t xml:space="preserve"> </w:t>
            </w:r>
            <w:r w:rsidRPr="005216E5">
              <w:rPr>
                <w:rFonts w:cstheme="minorHAnsi"/>
                <w:lang w:val="en-US"/>
              </w:rPr>
              <w:t xml:space="preserve">Risk reduction associated with a range of critical outcomes was greatest when daily intake of dietary </w:t>
            </w:r>
            <w:proofErr w:type="spellStart"/>
            <w:r w:rsidRPr="005216E5">
              <w:rPr>
                <w:rFonts w:cstheme="minorHAnsi"/>
                <w:lang w:val="en-US"/>
              </w:rPr>
              <w:t>fibre</w:t>
            </w:r>
            <w:proofErr w:type="spellEnd"/>
            <w:r w:rsidRPr="005216E5">
              <w:rPr>
                <w:rFonts w:cstheme="minorHAnsi"/>
                <w:lang w:val="en-US"/>
              </w:rPr>
              <w:t xml:space="preserve"> was between 25 g and 29 g. </w:t>
            </w:r>
            <w:r w:rsidRPr="00A853E0">
              <w:rPr>
                <w:rFonts w:cstheme="minorHAnsi"/>
                <w:lang w:val="en-US"/>
              </w:rPr>
              <w:t xml:space="preserve">Dose-response curves suggested that higher intakes of dietary </w:t>
            </w:r>
            <w:proofErr w:type="spellStart"/>
            <w:r w:rsidRPr="00A853E0">
              <w:rPr>
                <w:rFonts w:cstheme="minorHAnsi"/>
                <w:lang w:val="en-US"/>
              </w:rPr>
              <w:t>fibre</w:t>
            </w:r>
            <w:proofErr w:type="spellEnd"/>
            <w:r w:rsidRPr="00A853E0">
              <w:rPr>
                <w:rFonts w:cstheme="minorHAnsi"/>
                <w:lang w:val="en-US"/>
              </w:rPr>
              <w:t xml:space="preserve"> could confer even greater benefit to protect against cardiovascular diseases, type 2 diabetes, and colorectal and breast </w:t>
            </w:r>
            <w:r w:rsidRPr="005216E5">
              <w:rPr>
                <w:rFonts w:cstheme="minorHAnsi"/>
                <w:lang w:val="en-US"/>
              </w:rPr>
              <w:t xml:space="preserve">cancer. Similar findings for whole grain intake </w:t>
            </w:r>
            <w:r w:rsidRPr="00A853E0">
              <w:rPr>
                <w:rFonts w:cstheme="minorHAnsi"/>
                <w:lang w:val="en-US"/>
              </w:rPr>
              <w:t xml:space="preserve">were observed. Smaller or no risk reductions were found with the observational data when comparing the effects of diets </w:t>
            </w:r>
            <w:proofErr w:type="spellStart"/>
            <w:r w:rsidRPr="00A853E0">
              <w:rPr>
                <w:rFonts w:cstheme="minorHAnsi"/>
                <w:lang w:val="en-US"/>
              </w:rPr>
              <w:t>characterised</w:t>
            </w:r>
            <w:proofErr w:type="spellEnd"/>
            <w:r w:rsidRPr="00A853E0">
              <w:rPr>
                <w:rFonts w:cstheme="minorHAnsi"/>
                <w:lang w:val="en-US"/>
              </w:rPr>
              <w:t xml:space="preserve"> by low rather than higher </w:t>
            </w:r>
            <w:proofErr w:type="spellStart"/>
            <w:r w:rsidRPr="00A853E0">
              <w:rPr>
                <w:rFonts w:cstheme="minorHAnsi"/>
                <w:lang w:val="en-US"/>
              </w:rPr>
              <w:lastRenderedPageBreak/>
              <w:t>glycaemic</w:t>
            </w:r>
            <w:proofErr w:type="spellEnd"/>
            <w:r w:rsidRPr="00A853E0">
              <w:rPr>
                <w:rFonts w:cstheme="minorHAnsi"/>
                <w:lang w:val="en-US"/>
              </w:rPr>
              <w:t xml:space="preserve"> index or load. The certainty of evidence for relationships between carbohydrate quality and critical outcomes was graded as moderate for dietary </w:t>
            </w:r>
            <w:proofErr w:type="spellStart"/>
            <w:r w:rsidRPr="00A853E0">
              <w:rPr>
                <w:rFonts w:cstheme="minorHAnsi"/>
                <w:lang w:val="en-US"/>
              </w:rPr>
              <w:t>fibre</w:t>
            </w:r>
            <w:proofErr w:type="spellEnd"/>
            <w:r w:rsidRPr="00A853E0">
              <w:rPr>
                <w:rFonts w:cstheme="minorHAnsi"/>
                <w:lang w:val="en-US"/>
              </w:rPr>
              <w:t xml:space="preserve">, low to moderate for whole grains, and low to very low for dietary </w:t>
            </w:r>
            <w:proofErr w:type="spellStart"/>
            <w:r w:rsidRPr="00A853E0">
              <w:rPr>
                <w:rFonts w:cstheme="minorHAnsi"/>
                <w:lang w:val="en-US"/>
              </w:rPr>
              <w:t>glycaemic</w:t>
            </w:r>
            <w:proofErr w:type="spellEnd"/>
            <w:r w:rsidRPr="00A853E0">
              <w:rPr>
                <w:rFonts w:cstheme="minorHAnsi"/>
                <w:lang w:val="en-US"/>
              </w:rPr>
              <w:t xml:space="preserve"> index and </w:t>
            </w:r>
            <w:proofErr w:type="spellStart"/>
            <w:r w:rsidRPr="00A853E0">
              <w:rPr>
                <w:rFonts w:cstheme="minorHAnsi"/>
                <w:lang w:val="en-US"/>
              </w:rPr>
              <w:t>glycaemic</w:t>
            </w:r>
            <w:proofErr w:type="spellEnd"/>
            <w:r w:rsidRPr="00A853E0">
              <w:rPr>
                <w:rFonts w:cstheme="minorHAnsi"/>
                <w:lang w:val="en-US"/>
              </w:rPr>
              <w:t xml:space="preserve"> load. Data relating to other dietary exposures are scarce. </w:t>
            </w:r>
          </w:p>
          <w:p w14:paraId="38CC7C38" w14:textId="17C65221" w:rsidR="00A853E0" w:rsidRPr="00A853E0" w:rsidRDefault="00A853E0" w:rsidP="00C26054">
            <w:pPr>
              <w:spacing w:line="360" w:lineRule="auto"/>
              <w:rPr>
                <w:rFonts w:cstheme="minorHAnsi"/>
                <w:lang w:val="en-US"/>
              </w:rPr>
            </w:pPr>
          </w:p>
          <w:p w14:paraId="2E49710A" w14:textId="216FFAA8" w:rsidR="00A853E0" w:rsidRPr="00A853E0" w:rsidRDefault="00A853E0" w:rsidP="00C26054">
            <w:pPr>
              <w:spacing w:line="360" w:lineRule="auto"/>
              <w:rPr>
                <w:rFonts w:cstheme="minorHAnsi"/>
                <w:lang w:val="en-US"/>
              </w:rPr>
            </w:pPr>
            <w:r w:rsidRPr="00A853E0">
              <w:rPr>
                <w:rFonts w:cstheme="minorHAnsi"/>
                <w:lang w:val="en-US"/>
              </w:rPr>
              <w:t>Word count: 3</w:t>
            </w:r>
            <w:r w:rsidR="00466F5A">
              <w:rPr>
                <w:rFonts w:cstheme="minorHAnsi"/>
                <w:lang w:val="en-US"/>
              </w:rPr>
              <w:t>57</w:t>
            </w:r>
          </w:p>
          <w:p w14:paraId="42CB34BB" w14:textId="77777777" w:rsidR="00472318" w:rsidRPr="00A853E0" w:rsidRDefault="00472318" w:rsidP="00E50F91">
            <w:pPr>
              <w:rPr>
                <w:rFonts w:cstheme="minorHAnsi"/>
                <w:color w:val="000000" w:themeColor="text1"/>
                <w:lang w:val="en-US"/>
              </w:rPr>
            </w:pPr>
          </w:p>
          <w:p w14:paraId="4F8E57C3" w14:textId="77777777" w:rsidR="00ED2F8F" w:rsidRPr="00A853E0" w:rsidRDefault="00ED2F8F" w:rsidP="00E50F91">
            <w:pPr>
              <w:rPr>
                <w:rFonts w:cstheme="minorHAnsi"/>
                <w:color w:val="000000" w:themeColor="text1"/>
                <w:lang w:val="en-US"/>
              </w:rPr>
            </w:pPr>
          </w:p>
          <w:p w14:paraId="2D4C9D5A" w14:textId="08B2D47C" w:rsidR="00ED2F8F" w:rsidRPr="00A853E0" w:rsidRDefault="00ED2F8F" w:rsidP="00E50F91">
            <w:pPr>
              <w:rPr>
                <w:rFonts w:cstheme="minorHAnsi"/>
                <w:color w:val="000000" w:themeColor="text1"/>
                <w:lang w:val="en-US"/>
              </w:rPr>
            </w:pPr>
          </w:p>
        </w:tc>
        <w:tc>
          <w:tcPr>
            <w:tcW w:w="5670" w:type="dxa"/>
          </w:tcPr>
          <w:p w14:paraId="77A7BDB2" w14:textId="07761556" w:rsidR="00C26054" w:rsidRDefault="00C26054" w:rsidP="00C26054">
            <w:pPr>
              <w:jc w:val="center"/>
              <w:rPr>
                <w:rFonts w:cstheme="minorHAnsi"/>
              </w:rPr>
            </w:pPr>
            <w:r w:rsidRPr="00A853E0">
              <w:rPr>
                <w:rFonts w:cstheme="minorHAnsi"/>
              </w:rPr>
              <w:lastRenderedPageBreak/>
              <w:t xml:space="preserve">La calidad de los carbohidratos y la salud humana: una serie de revisiones sistemáticas y metaanálisis   </w:t>
            </w:r>
          </w:p>
          <w:p w14:paraId="581D3385" w14:textId="77777777" w:rsidR="0086047E" w:rsidRPr="00A853E0" w:rsidRDefault="0086047E" w:rsidP="00C26054">
            <w:pPr>
              <w:jc w:val="center"/>
              <w:rPr>
                <w:rFonts w:cstheme="minorHAnsi"/>
              </w:rPr>
            </w:pPr>
          </w:p>
          <w:p w14:paraId="10D67E3D" w14:textId="44312E2A" w:rsidR="00C26054" w:rsidRPr="00A853E0" w:rsidRDefault="00C26054" w:rsidP="00C26054">
            <w:pPr>
              <w:spacing w:line="360" w:lineRule="auto"/>
              <w:rPr>
                <w:rFonts w:cstheme="minorHAnsi"/>
              </w:rPr>
            </w:pPr>
            <w:r w:rsidRPr="00A853E0">
              <w:rPr>
                <w:rFonts w:cstheme="minorHAnsi"/>
                <w:b/>
                <w:bCs/>
              </w:rPr>
              <w:t>Introducción</w:t>
            </w:r>
            <w:r w:rsidRPr="00A853E0">
              <w:rPr>
                <w:rFonts w:cstheme="minorHAnsi"/>
              </w:rPr>
              <w:t xml:space="preserve"> Las revisiones sistemáticas y los metaanálisis previos que explican la relación entre la calidad de los carbohidratos y la salud generalmente han examinado un solo marcador y un número limitado de resultados clínicos. Nuestro objetivo fue cuantificar con mayor precisión el potencial predictivo de varios marcadores para determinar cuáles son los más útiles y para establecer una base empírica </w:t>
            </w:r>
            <w:r w:rsidRPr="00A853E0">
              <w:rPr>
                <w:rFonts w:cstheme="minorHAnsi"/>
              </w:rPr>
              <w:lastRenderedPageBreak/>
              <w:t>para las recomendaciones cuantitativas de las ingestas de fibras alimentarias.</w:t>
            </w:r>
          </w:p>
          <w:p w14:paraId="0FB59ACB" w14:textId="7A13FAAB" w:rsidR="00C26054" w:rsidRPr="00A853E0" w:rsidRDefault="00C26054" w:rsidP="00C26054">
            <w:pPr>
              <w:spacing w:line="360" w:lineRule="auto"/>
              <w:rPr>
                <w:rFonts w:cstheme="minorHAnsi"/>
              </w:rPr>
            </w:pPr>
            <w:r w:rsidRPr="00A853E0">
              <w:rPr>
                <w:rFonts w:cstheme="minorHAnsi"/>
                <w:b/>
                <w:bCs/>
              </w:rPr>
              <w:t>Métodos</w:t>
            </w:r>
            <w:r w:rsidRPr="00A853E0">
              <w:rPr>
                <w:rFonts w:cstheme="minorHAnsi"/>
              </w:rPr>
              <w:t xml:space="preserve"> Realizamos varias revisiones sistemáticas y metaanálisis de estudios prospectivos publicados desde el inicio de la base de datos hasta el 30 de abril del 2017 y de ensayos aleatorizados y controlados publicados desde el inicio de la base de datos hasta el 28 de febrero del 2018, que informaron sobre los indicadores de la calidad de los carbohidratos y la incidencia de las enfermedades no transmisibles, la mortalidad y los factores de riesgo. Se identificaron los estudios mediante búsquedas en PubMed, </w:t>
            </w:r>
            <w:proofErr w:type="spellStart"/>
            <w:r w:rsidRPr="00A853E0">
              <w:rPr>
                <w:rFonts w:cstheme="minorHAnsi"/>
              </w:rPr>
              <w:t>Ovid</w:t>
            </w:r>
            <w:proofErr w:type="spellEnd"/>
            <w:r w:rsidRPr="00A853E0">
              <w:rPr>
                <w:rFonts w:cstheme="minorHAnsi"/>
              </w:rPr>
              <w:t xml:space="preserve"> MEDLINE, </w:t>
            </w:r>
            <w:proofErr w:type="spellStart"/>
            <w:r w:rsidRPr="00A853E0">
              <w:rPr>
                <w:rFonts w:cstheme="minorHAnsi"/>
              </w:rPr>
              <w:t>Embase</w:t>
            </w:r>
            <w:proofErr w:type="spellEnd"/>
            <w:r w:rsidRPr="00A853E0">
              <w:rPr>
                <w:rFonts w:cstheme="minorHAnsi"/>
              </w:rPr>
              <w:t xml:space="preserve"> y Cochrane Central </w:t>
            </w:r>
            <w:proofErr w:type="spellStart"/>
            <w:r w:rsidRPr="00A853E0">
              <w:rPr>
                <w:rFonts w:cstheme="minorHAnsi"/>
              </w:rPr>
              <w:t>Register</w:t>
            </w:r>
            <w:proofErr w:type="spellEnd"/>
            <w:r w:rsidRPr="00A853E0">
              <w:rPr>
                <w:rFonts w:cstheme="minorHAnsi"/>
              </w:rPr>
              <w:t xml:space="preserve"> </w:t>
            </w:r>
            <w:proofErr w:type="spellStart"/>
            <w:r w:rsidRPr="00A853E0">
              <w:rPr>
                <w:rFonts w:cstheme="minorHAnsi"/>
              </w:rPr>
              <w:t>of</w:t>
            </w:r>
            <w:proofErr w:type="spellEnd"/>
            <w:r w:rsidRPr="00A853E0">
              <w:rPr>
                <w:rFonts w:cstheme="minorHAnsi"/>
              </w:rPr>
              <w:t xml:space="preserve"> </w:t>
            </w:r>
            <w:proofErr w:type="spellStart"/>
            <w:r w:rsidRPr="00A853E0">
              <w:rPr>
                <w:rFonts w:cstheme="minorHAnsi"/>
              </w:rPr>
              <w:t>Controlled</w:t>
            </w:r>
            <w:proofErr w:type="spellEnd"/>
            <w:r w:rsidRPr="00A853E0">
              <w:rPr>
                <w:rFonts w:cstheme="minorHAnsi"/>
              </w:rPr>
              <w:t xml:space="preserve"> </w:t>
            </w:r>
            <w:proofErr w:type="spellStart"/>
            <w:r w:rsidRPr="00A853E0">
              <w:rPr>
                <w:rFonts w:cstheme="minorHAnsi"/>
              </w:rPr>
              <w:t>Trials</w:t>
            </w:r>
            <w:proofErr w:type="spellEnd"/>
            <w:r w:rsidRPr="00A853E0">
              <w:rPr>
                <w:rFonts w:cstheme="minorHAnsi"/>
              </w:rPr>
              <w:t xml:space="preserve"> y mediante búsquedas manuales de publicaciones anteriores. Excluimos estudios prospectivos y ensayos que informaron sobre los participantes con enfermedades crónicas y los ensayos de adelgazamiento o ensayos que involucraron suplementos</w:t>
            </w:r>
            <w:r w:rsidR="00A71B72" w:rsidRPr="00A853E0">
              <w:rPr>
                <w:rFonts w:cstheme="minorHAnsi"/>
              </w:rPr>
              <w:t>.</w:t>
            </w:r>
            <w:r w:rsidRPr="00A853E0">
              <w:rPr>
                <w:rFonts w:cstheme="minorHAnsi"/>
              </w:rPr>
              <w:t xml:space="preserve"> Se duplicaron independientemente las búsquedas, la extracción de datos y la evaluación de sesgos</w:t>
            </w:r>
            <w:r w:rsidR="00A71B72" w:rsidRPr="00A853E0">
              <w:rPr>
                <w:rFonts w:cstheme="minorHAnsi"/>
              </w:rPr>
              <w:t>.</w:t>
            </w:r>
            <w:r w:rsidRPr="00A853E0">
              <w:rPr>
                <w:rFonts w:cstheme="minorHAnsi"/>
              </w:rPr>
              <w:t xml:space="preserve"> Se usó el enfoque GRADE para evaluar la calidad de la evidencia. </w:t>
            </w:r>
          </w:p>
          <w:p w14:paraId="45000CCD" w14:textId="5552968B" w:rsidR="00C26054" w:rsidRPr="00A853E0" w:rsidRDefault="00C26054" w:rsidP="00C26054">
            <w:pPr>
              <w:spacing w:line="360" w:lineRule="auto"/>
              <w:rPr>
                <w:rFonts w:cstheme="minorHAnsi"/>
                <w:lang w:val="en-US"/>
              </w:rPr>
            </w:pPr>
            <w:r w:rsidRPr="00A853E0">
              <w:rPr>
                <w:rFonts w:cstheme="minorHAnsi"/>
                <w:b/>
                <w:bCs/>
              </w:rPr>
              <w:t xml:space="preserve">Descubrimientos </w:t>
            </w:r>
            <w:r w:rsidRPr="005216E5">
              <w:rPr>
                <w:rFonts w:cstheme="minorHAnsi"/>
              </w:rPr>
              <w:t xml:space="preserve">En los datos observacionales se sugiere una disminución del 15 al 30 % en </w:t>
            </w:r>
            <w:r w:rsidR="00A71B72" w:rsidRPr="005216E5">
              <w:rPr>
                <w:rFonts w:cstheme="minorHAnsi"/>
              </w:rPr>
              <w:t>la</w:t>
            </w:r>
            <w:r w:rsidRPr="005216E5">
              <w:rPr>
                <w:rFonts w:cstheme="minorHAnsi"/>
              </w:rPr>
              <w:t xml:space="preserve"> mortalidad cardiovascular y por todas las c</w:t>
            </w:r>
            <w:r w:rsidR="00A71B72" w:rsidRPr="005216E5">
              <w:rPr>
                <w:rFonts w:cstheme="minorHAnsi"/>
              </w:rPr>
              <w:t>au</w:t>
            </w:r>
            <w:r w:rsidRPr="005216E5">
              <w:rPr>
                <w:rFonts w:cstheme="minorHAnsi"/>
              </w:rPr>
              <w:t>sas</w:t>
            </w:r>
            <w:r w:rsidR="006512FC">
              <w:rPr>
                <w:rFonts w:cstheme="minorHAnsi"/>
              </w:rPr>
              <w:t xml:space="preserve">, </w:t>
            </w:r>
            <w:r w:rsidRPr="005216E5">
              <w:rPr>
                <w:rFonts w:cstheme="minorHAnsi"/>
              </w:rPr>
              <w:t>y una incidencia de enfermedades coronarias, accidentes cerebrovasculares y mortalidad, diabetes tipo 2 y cáncer colorrectal cuando se comparan los mayores consumos de fibra alimentaria con los menores consumos</w:t>
            </w:r>
            <w:r w:rsidR="00A71B72" w:rsidRPr="005216E5">
              <w:rPr>
                <w:rFonts w:cstheme="minorHAnsi"/>
              </w:rPr>
              <w:t>.</w:t>
            </w:r>
            <w:r w:rsidRPr="005216E5">
              <w:rPr>
                <w:rFonts w:cstheme="minorHAnsi"/>
              </w:rPr>
              <w:t xml:space="preserve"> La reducción del riesgo asociada a una serie de resultados críticos fue mayor cuando la ingesta de fibra alimentaria fue entre 25 g y 29 g.  </w:t>
            </w:r>
            <w:r w:rsidRPr="00A853E0">
              <w:rPr>
                <w:rFonts w:cstheme="minorHAnsi"/>
              </w:rPr>
              <w:t xml:space="preserve">En las curvas dosis-respuesta se sugiere que mayores ingestas de fibra alimentaria podrían tener un beneficio aún mayor para proteger contra las enfermedades cardiovasculares, la </w:t>
            </w:r>
            <w:r w:rsidRPr="00A853E0">
              <w:rPr>
                <w:rFonts w:cstheme="minorHAnsi"/>
              </w:rPr>
              <w:lastRenderedPageBreak/>
              <w:t xml:space="preserve">diabetes tipo 2 y los </w:t>
            </w:r>
            <w:r w:rsidR="00A71B72" w:rsidRPr="00A853E0">
              <w:rPr>
                <w:rFonts w:cstheme="minorHAnsi"/>
              </w:rPr>
              <w:t>cánceres colorrectales</w:t>
            </w:r>
            <w:r w:rsidRPr="00A853E0">
              <w:rPr>
                <w:rFonts w:cstheme="minorHAnsi"/>
              </w:rPr>
              <w:t xml:space="preserve"> y de mama</w:t>
            </w:r>
            <w:r w:rsidRPr="005216E5">
              <w:rPr>
                <w:rFonts w:cstheme="minorHAnsi"/>
              </w:rPr>
              <w:t>.</w:t>
            </w:r>
            <w:r w:rsidR="00A71B72" w:rsidRPr="005216E5">
              <w:rPr>
                <w:rFonts w:cstheme="minorHAnsi"/>
              </w:rPr>
              <w:t xml:space="preserve"> </w:t>
            </w:r>
            <w:r w:rsidRPr="005216E5">
              <w:rPr>
                <w:rFonts w:cstheme="minorHAnsi"/>
              </w:rPr>
              <w:t xml:space="preserve">Se observaron datos similares para la ingesta de granos integrales. Se encontraron pequeñas disminuciones o </w:t>
            </w:r>
            <w:r w:rsidRPr="00A853E0">
              <w:rPr>
                <w:rFonts w:cstheme="minorHAnsi"/>
              </w:rPr>
              <w:t xml:space="preserve">ninguna con los datos observacionales cuando se compararon los efectos de las dietas caracterizadas por un índice glucémico o carga glucémica baja y no elevada.  La certeza de la evidencia para las relaciones entre la calidad de los carbohidratos y los resultados críticos se evaluó como moderado para la fibra alimentaria, de bajo a moderado para los granos integrales y de bajo a muy bajo para el índice glucémico alimentario y carga glucémica. </w:t>
            </w:r>
            <w:r w:rsidRPr="00A853E0">
              <w:rPr>
                <w:rFonts w:cstheme="minorHAnsi"/>
                <w:lang w:val="en-US"/>
              </w:rPr>
              <w:t>Los d</w:t>
            </w:r>
            <w:proofErr w:type="spellStart"/>
            <w:r w:rsidRPr="00A853E0">
              <w:rPr>
                <w:rFonts w:cstheme="minorHAnsi"/>
                <w:lang w:val="en-US"/>
              </w:rPr>
              <w:t>atos</w:t>
            </w:r>
            <w:proofErr w:type="spellEnd"/>
            <w:r w:rsidRPr="00A853E0">
              <w:rPr>
                <w:rFonts w:cstheme="minorHAnsi"/>
                <w:lang w:val="en-US"/>
              </w:rPr>
              <w:t xml:space="preserve"> </w:t>
            </w:r>
            <w:proofErr w:type="spellStart"/>
            <w:r w:rsidRPr="00A853E0">
              <w:rPr>
                <w:rFonts w:cstheme="minorHAnsi"/>
                <w:lang w:val="en-US"/>
              </w:rPr>
              <w:t>relacionados</w:t>
            </w:r>
            <w:proofErr w:type="spellEnd"/>
            <w:r w:rsidRPr="00A853E0">
              <w:rPr>
                <w:rFonts w:cstheme="minorHAnsi"/>
                <w:lang w:val="en-US"/>
              </w:rPr>
              <w:t xml:space="preserve"> con </w:t>
            </w:r>
            <w:proofErr w:type="spellStart"/>
            <w:r w:rsidRPr="00A853E0">
              <w:rPr>
                <w:rFonts w:cstheme="minorHAnsi"/>
                <w:lang w:val="en-US"/>
              </w:rPr>
              <w:t>otras</w:t>
            </w:r>
            <w:proofErr w:type="spellEnd"/>
            <w:r w:rsidRPr="00A853E0">
              <w:rPr>
                <w:rFonts w:cstheme="minorHAnsi"/>
                <w:lang w:val="en-US"/>
              </w:rPr>
              <w:t xml:space="preserve"> </w:t>
            </w:r>
            <w:proofErr w:type="spellStart"/>
            <w:r w:rsidRPr="00A853E0">
              <w:rPr>
                <w:rFonts w:cstheme="minorHAnsi"/>
                <w:lang w:val="en-US"/>
              </w:rPr>
              <w:t>exposiciones</w:t>
            </w:r>
            <w:proofErr w:type="spellEnd"/>
            <w:r w:rsidRPr="00A853E0">
              <w:rPr>
                <w:rFonts w:cstheme="minorHAnsi"/>
                <w:lang w:val="en-US"/>
              </w:rPr>
              <w:t xml:space="preserve"> </w:t>
            </w:r>
            <w:proofErr w:type="spellStart"/>
            <w:r w:rsidRPr="00A853E0">
              <w:rPr>
                <w:rFonts w:cstheme="minorHAnsi"/>
                <w:lang w:val="en-US"/>
              </w:rPr>
              <w:t>alimentarias</w:t>
            </w:r>
            <w:proofErr w:type="spellEnd"/>
            <w:r w:rsidRPr="00A853E0">
              <w:rPr>
                <w:rFonts w:cstheme="minorHAnsi"/>
                <w:lang w:val="en-US"/>
              </w:rPr>
              <w:t xml:space="preserve"> son </w:t>
            </w:r>
            <w:proofErr w:type="spellStart"/>
            <w:r w:rsidRPr="00A853E0">
              <w:rPr>
                <w:rFonts w:cstheme="minorHAnsi"/>
                <w:lang w:val="en-US"/>
              </w:rPr>
              <w:t>escasos</w:t>
            </w:r>
            <w:proofErr w:type="spellEnd"/>
            <w:r w:rsidRPr="00A853E0">
              <w:rPr>
                <w:rFonts w:cstheme="minorHAnsi"/>
                <w:lang w:val="en-US"/>
              </w:rPr>
              <w:t xml:space="preserve">. </w:t>
            </w:r>
          </w:p>
          <w:p w14:paraId="1575CAD0" w14:textId="77777777" w:rsidR="00A853E0" w:rsidRPr="00A853E0" w:rsidRDefault="00A853E0" w:rsidP="00B41EB5">
            <w:pPr>
              <w:rPr>
                <w:rFonts w:cstheme="minorHAnsi"/>
                <w:color w:val="000000" w:themeColor="text1"/>
                <w:lang w:val="en-US"/>
              </w:rPr>
            </w:pPr>
          </w:p>
          <w:p w14:paraId="6F3D484E" w14:textId="1D710FBF" w:rsidR="00472318" w:rsidRPr="00A853E0" w:rsidRDefault="00A853E0" w:rsidP="00B41EB5">
            <w:pPr>
              <w:rPr>
                <w:rFonts w:cstheme="minorHAnsi"/>
                <w:color w:val="000000" w:themeColor="text1"/>
                <w:lang w:val="en-US"/>
              </w:rPr>
            </w:pPr>
            <w:r w:rsidRPr="00A853E0">
              <w:rPr>
                <w:rFonts w:cstheme="minorHAnsi"/>
                <w:color w:val="000000" w:themeColor="text1"/>
                <w:lang w:val="en-US"/>
              </w:rPr>
              <w:t>Word count: 444</w:t>
            </w:r>
          </w:p>
        </w:tc>
      </w:tr>
    </w:tbl>
    <w:p w14:paraId="2E72B11D" w14:textId="77777777" w:rsidR="00FF34EF" w:rsidRDefault="00FF34EF" w:rsidP="00FF34EF">
      <w:pPr>
        <w:jc w:val="center"/>
        <w:rPr>
          <w:rFonts w:cstheme="minorHAnsi"/>
          <w:lang w:val="en-US"/>
        </w:rPr>
      </w:pPr>
      <w:r>
        <w:rPr>
          <w:rFonts w:cstheme="minorHAnsi"/>
          <w:color w:val="000000" w:themeColor="text1"/>
          <w:lang w:val="en-US"/>
        </w:rPr>
        <w:lastRenderedPageBreak/>
        <w:t xml:space="preserve">Source text: </w:t>
      </w:r>
      <w:r w:rsidRPr="00FF34EF">
        <w:rPr>
          <w:rFonts w:cstheme="minorHAnsi"/>
          <w:lang w:val="en-US"/>
        </w:rPr>
        <w:t xml:space="preserve">Carbohydrate quality and human health: a series of systematic reviews and meta-analyses </w:t>
      </w:r>
    </w:p>
    <w:p w14:paraId="184BA178" w14:textId="01016D52" w:rsidR="00FF34EF" w:rsidRDefault="00FF34EF" w:rsidP="00FF34EF">
      <w:pPr>
        <w:rPr>
          <w:rFonts w:cstheme="minorHAnsi"/>
          <w:lang w:val="en-US"/>
        </w:rPr>
      </w:pPr>
      <w:r w:rsidRPr="00FF34EF">
        <w:rPr>
          <w:rFonts w:cstheme="minorHAnsi"/>
          <w:lang w:val="en-US"/>
        </w:rPr>
        <w:t xml:space="preserve">Authors: Andrew Reynolds, Jim Mann, John Cummings, Nicola Winter, Evelyn Mete, Lisa </w:t>
      </w:r>
      <w:proofErr w:type="spellStart"/>
      <w:r w:rsidRPr="00FF34EF">
        <w:rPr>
          <w:rFonts w:cstheme="minorHAnsi"/>
          <w:lang w:val="en-US"/>
        </w:rPr>
        <w:t>Te</w:t>
      </w:r>
      <w:proofErr w:type="spellEnd"/>
      <w:r w:rsidRPr="00FF34EF">
        <w:rPr>
          <w:rFonts w:cstheme="minorHAnsi"/>
          <w:lang w:val="en-US"/>
        </w:rPr>
        <w:t xml:space="preserve"> </w:t>
      </w:r>
      <w:proofErr w:type="spellStart"/>
      <w:r w:rsidRPr="00FF34EF">
        <w:rPr>
          <w:rFonts w:cstheme="minorHAnsi"/>
          <w:lang w:val="en-US"/>
        </w:rPr>
        <w:t>Morenga</w:t>
      </w:r>
      <w:proofErr w:type="spellEnd"/>
    </w:p>
    <w:p w14:paraId="2ECB96B7" w14:textId="7AB2028E" w:rsidR="00FF34EF" w:rsidRPr="00FF34EF" w:rsidRDefault="00FF34EF" w:rsidP="00FF34EF">
      <w:pPr>
        <w:rPr>
          <w:rFonts w:cstheme="minorHAnsi"/>
          <w:lang w:val="en-US"/>
        </w:rPr>
      </w:pPr>
      <w:r>
        <w:rPr>
          <w:rFonts w:cstheme="minorHAnsi"/>
          <w:lang w:val="en-US"/>
        </w:rPr>
        <w:t xml:space="preserve">Link: </w:t>
      </w:r>
      <w:hyperlink r:id="rId10" w:history="1">
        <w:r w:rsidRPr="00FB2DB1">
          <w:rPr>
            <w:rStyle w:val="Hipervnculo"/>
            <w:rFonts w:cstheme="minorHAnsi"/>
            <w:lang w:val="en-US"/>
          </w:rPr>
          <w:t>https://tinyurl.com/yg4rpwpj</w:t>
        </w:r>
      </w:hyperlink>
      <w:r>
        <w:rPr>
          <w:rFonts w:cstheme="minorHAnsi"/>
          <w:lang w:val="en-US"/>
        </w:rPr>
        <w:t xml:space="preserve"> </w:t>
      </w:r>
    </w:p>
    <w:p w14:paraId="273A4F89" w14:textId="287E43F9" w:rsidR="00BA77C8" w:rsidRPr="00A853E0" w:rsidRDefault="00BA77C8" w:rsidP="00FF34EF">
      <w:pP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B4EE4" w14:paraId="4E936DDB" w14:textId="77777777" w:rsidTr="009657B8">
        <w:trPr>
          <w:cantSplit/>
          <w:jc w:val="center"/>
        </w:trPr>
        <w:tc>
          <w:tcPr>
            <w:tcW w:w="3024" w:type="dxa"/>
          </w:tcPr>
          <w:p w14:paraId="16ACC2D0" w14:textId="7A90FB99" w:rsidR="00C32E34" w:rsidRPr="002169F4" w:rsidRDefault="002B4EE4" w:rsidP="009657B8">
            <w:pPr>
              <w:pStyle w:val="Table-Body"/>
              <w:rPr>
                <w:noProof w:val="0"/>
                <w:lang w:val="en-US"/>
              </w:rPr>
            </w:pPr>
            <w:r w:rsidRPr="00A853E0">
              <w:rPr>
                <w:rFonts w:asciiTheme="minorHAnsi" w:hAnsiTheme="minorHAnsi" w:cstheme="minorHAnsi"/>
                <w:sz w:val="22"/>
                <w:szCs w:val="22"/>
                <w:lang w:val="en-US"/>
              </w:rPr>
              <w:lastRenderedPageBreak/>
              <w:t>Studies were identified by searches in PubMed, Ovid MEDLINE, Embase, and the Cochrane Central Register of Controlled Trials, and by hand searching of previous publications.</w:t>
            </w:r>
          </w:p>
        </w:tc>
        <w:tc>
          <w:tcPr>
            <w:tcW w:w="3024" w:type="dxa"/>
          </w:tcPr>
          <w:p w14:paraId="7CBA6972" w14:textId="0B7E6B90" w:rsidR="00C32E34" w:rsidRPr="002B4EE4" w:rsidRDefault="002B4EE4" w:rsidP="009657B8">
            <w:pPr>
              <w:pStyle w:val="Table-Body"/>
              <w:rPr>
                <w:noProof w:val="0"/>
                <w:lang w:val="es-AR"/>
              </w:rPr>
            </w:pPr>
            <w:r w:rsidRPr="00A853E0">
              <w:rPr>
                <w:rFonts w:asciiTheme="minorHAnsi" w:hAnsiTheme="minorHAnsi" w:cstheme="minorHAnsi"/>
                <w:sz w:val="22"/>
                <w:szCs w:val="22"/>
                <w:lang w:val="es-AR"/>
              </w:rPr>
              <w:t>. Se identificaron los estudios mediante búsquedas en PubMed, Ovid MEDLINE, Embase y Cochrane Central Register of Controlled Trials y mediante búsquedas manuales de publicaciones anteriores</w:t>
            </w:r>
          </w:p>
        </w:tc>
        <w:tc>
          <w:tcPr>
            <w:tcW w:w="3024" w:type="dxa"/>
          </w:tcPr>
          <w:p w14:paraId="166C29FC" w14:textId="25C3C789" w:rsidR="00C32E34" w:rsidRPr="002B4EE4" w:rsidRDefault="002B4EE4" w:rsidP="009657B8">
            <w:pPr>
              <w:pStyle w:val="Table-Body"/>
              <w:rPr>
                <w:i w:val="0"/>
                <w:iCs/>
                <w:noProof w:val="0"/>
                <w:lang w:val="en-US"/>
              </w:rPr>
            </w:pPr>
            <w:r w:rsidRPr="002B4EE4">
              <w:rPr>
                <w:i w:val="0"/>
                <w:iCs/>
                <w:noProof w:val="0"/>
                <w:lang w:val="en-US"/>
              </w:rPr>
              <w:t xml:space="preserve">should </w:t>
            </w:r>
            <w:r w:rsidRPr="002B4EE4">
              <w:rPr>
                <w:i w:val="0"/>
                <w:iCs/>
                <w:noProof w:val="0"/>
                <w:lang w:val="en-US"/>
              </w:rPr>
              <w:t xml:space="preserve">I </w:t>
            </w:r>
            <w:r w:rsidRPr="002B4EE4">
              <w:rPr>
                <w:i w:val="0"/>
                <w:iCs/>
                <w:noProof w:val="0"/>
                <w:lang w:val="en-US"/>
              </w:rPr>
              <w:t>have used italics on website names</w:t>
            </w:r>
            <w:r>
              <w:rPr>
                <w:i w:val="0"/>
                <w:iCs/>
                <w:noProof w:val="0"/>
                <w:lang w:val="en-US"/>
              </w:rPr>
              <w:t xml:space="preserve"> in the target text</w:t>
            </w:r>
            <w:r w:rsidRPr="002B4EE4">
              <w:rPr>
                <w:i w:val="0"/>
                <w:iCs/>
                <w:noProof w:val="0"/>
                <w:lang w:val="en-US"/>
              </w:rPr>
              <w:t>?</w:t>
            </w:r>
          </w:p>
        </w:tc>
      </w:tr>
      <w:tr w:rsidR="00C32E34" w:rsidRPr="00965E2E" w14:paraId="4DF1136B" w14:textId="77777777" w:rsidTr="009657B8">
        <w:trPr>
          <w:cantSplit/>
          <w:jc w:val="center"/>
        </w:trPr>
        <w:tc>
          <w:tcPr>
            <w:tcW w:w="3024" w:type="dxa"/>
          </w:tcPr>
          <w:p w14:paraId="08EA4513" w14:textId="713D63E0" w:rsidR="00C32E34" w:rsidRPr="002B4EE4" w:rsidRDefault="006512FC" w:rsidP="009657B8">
            <w:pPr>
              <w:pStyle w:val="Table-Body"/>
              <w:rPr>
                <w:noProof w:val="0"/>
                <w:lang w:val="en-US"/>
              </w:rPr>
            </w:pPr>
            <w:r w:rsidRPr="00A853E0">
              <w:rPr>
                <w:rFonts w:asciiTheme="minorHAnsi" w:hAnsiTheme="minorHAnsi" w:cstheme="minorHAnsi"/>
                <w:sz w:val="22"/>
                <w:szCs w:val="22"/>
                <w:lang w:val="en-US"/>
              </w:rPr>
              <w:t>Observational data suggest a 15–30% decrease in all-cause and cardiovascular related mortality</w:t>
            </w:r>
          </w:p>
        </w:tc>
        <w:tc>
          <w:tcPr>
            <w:tcW w:w="3024" w:type="dxa"/>
          </w:tcPr>
          <w:p w14:paraId="1E68AD91" w14:textId="37468B45" w:rsidR="00C32E34" w:rsidRPr="00965E2E" w:rsidRDefault="00965E2E" w:rsidP="009657B8">
            <w:pPr>
              <w:pStyle w:val="Table-Body"/>
              <w:rPr>
                <w:noProof w:val="0"/>
                <w:lang w:val="es-AR"/>
              </w:rPr>
            </w:pPr>
            <w:r w:rsidRPr="005216E5">
              <w:rPr>
                <w:rFonts w:asciiTheme="minorHAnsi" w:hAnsiTheme="minorHAnsi" w:cstheme="minorHAnsi"/>
                <w:sz w:val="22"/>
                <w:szCs w:val="22"/>
                <w:lang w:val="es-AR"/>
              </w:rPr>
              <w:t xml:space="preserve">En los datos observacionales se sugiere una disminución del 15 al 30 % en </w:t>
            </w:r>
            <w:r w:rsidRPr="00965E2E">
              <w:rPr>
                <w:rFonts w:asciiTheme="minorHAnsi" w:hAnsiTheme="minorHAnsi" w:cstheme="minorHAnsi"/>
                <w:sz w:val="22"/>
                <w:szCs w:val="22"/>
                <w:lang w:val="es-AR"/>
              </w:rPr>
              <w:t>la</w:t>
            </w:r>
            <w:r w:rsidRPr="005216E5">
              <w:rPr>
                <w:rFonts w:asciiTheme="minorHAnsi" w:hAnsiTheme="minorHAnsi" w:cstheme="minorHAnsi"/>
                <w:sz w:val="22"/>
                <w:szCs w:val="22"/>
                <w:lang w:val="es-AR"/>
              </w:rPr>
              <w:t xml:space="preserve"> mortalidad cardiovascular</w:t>
            </w:r>
          </w:p>
        </w:tc>
        <w:tc>
          <w:tcPr>
            <w:tcW w:w="3024" w:type="dxa"/>
          </w:tcPr>
          <w:p w14:paraId="30D747FA" w14:textId="2EF4B0A9" w:rsidR="00C32E34" w:rsidRPr="00965E2E" w:rsidRDefault="00965E2E" w:rsidP="009657B8">
            <w:pPr>
              <w:pStyle w:val="Table-Body"/>
              <w:rPr>
                <w:i w:val="0"/>
                <w:iCs/>
                <w:noProof w:val="0"/>
                <w:lang w:val="en-US"/>
              </w:rPr>
            </w:pPr>
            <w:r w:rsidRPr="00965E2E">
              <w:rPr>
                <w:i w:val="0"/>
                <w:iCs/>
                <w:noProof w:val="0"/>
                <w:lang w:val="en-US"/>
              </w:rPr>
              <w:t xml:space="preserve">Should I have transferred the figure? </w:t>
            </w:r>
          </w:p>
        </w:tc>
      </w:tr>
      <w:tr w:rsidR="00C32E34" w:rsidRPr="00965E2E" w14:paraId="0CD05816" w14:textId="77777777" w:rsidTr="009657B8">
        <w:trPr>
          <w:cantSplit/>
          <w:jc w:val="center"/>
        </w:trPr>
        <w:tc>
          <w:tcPr>
            <w:tcW w:w="3024" w:type="dxa"/>
          </w:tcPr>
          <w:p w14:paraId="3482C24B" w14:textId="77777777" w:rsidR="00C32E34" w:rsidRPr="00965E2E" w:rsidRDefault="00C32E34" w:rsidP="009657B8">
            <w:pPr>
              <w:pStyle w:val="Table-Body"/>
              <w:rPr>
                <w:noProof w:val="0"/>
                <w:lang w:val="en-US"/>
              </w:rPr>
            </w:pPr>
          </w:p>
        </w:tc>
        <w:tc>
          <w:tcPr>
            <w:tcW w:w="3024" w:type="dxa"/>
          </w:tcPr>
          <w:p w14:paraId="17648998" w14:textId="77777777" w:rsidR="00C32E34" w:rsidRPr="00965E2E" w:rsidRDefault="00C32E34" w:rsidP="009657B8">
            <w:pPr>
              <w:pStyle w:val="Table-Body"/>
              <w:rPr>
                <w:noProof w:val="0"/>
                <w:lang w:val="en-US"/>
              </w:rPr>
            </w:pPr>
          </w:p>
        </w:tc>
        <w:tc>
          <w:tcPr>
            <w:tcW w:w="3024" w:type="dxa"/>
          </w:tcPr>
          <w:p w14:paraId="06FF579A" w14:textId="77777777" w:rsidR="00C32E34" w:rsidRPr="00965E2E" w:rsidRDefault="00C32E34" w:rsidP="009657B8">
            <w:pPr>
              <w:pStyle w:val="Table-Body"/>
              <w:rPr>
                <w:noProof w:val="0"/>
                <w:lang w:val="en-US"/>
              </w:rPr>
            </w:pPr>
          </w:p>
        </w:tc>
      </w:tr>
      <w:tr w:rsidR="00C32E34" w:rsidRPr="00965E2E" w14:paraId="7EDA03F2" w14:textId="77777777" w:rsidTr="009657B8">
        <w:trPr>
          <w:cantSplit/>
          <w:jc w:val="center"/>
        </w:trPr>
        <w:tc>
          <w:tcPr>
            <w:tcW w:w="3024" w:type="dxa"/>
          </w:tcPr>
          <w:p w14:paraId="2FCFECC1" w14:textId="77777777" w:rsidR="00C32E34" w:rsidRPr="00965E2E" w:rsidRDefault="00C32E34" w:rsidP="009657B8">
            <w:pPr>
              <w:pStyle w:val="Table-Body"/>
              <w:rPr>
                <w:noProof w:val="0"/>
                <w:lang w:val="en-US"/>
              </w:rPr>
            </w:pPr>
          </w:p>
        </w:tc>
        <w:tc>
          <w:tcPr>
            <w:tcW w:w="3024" w:type="dxa"/>
          </w:tcPr>
          <w:p w14:paraId="56BA7AC2" w14:textId="77777777" w:rsidR="00C32E34" w:rsidRPr="00965E2E" w:rsidRDefault="00C32E34" w:rsidP="009657B8">
            <w:pPr>
              <w:pStyle w:val="Table-Body"/>
              <w:rPr>
                <w:noProof w:val="0"/>
                <w:lang w:val="en-US"/>
              </w:rPr>
            </w:pPr>
          </w:p>
        </w:tc>
        <w:tc>
          <w:tcPr>
            <w:tcW w:w="3024" w:type="dxa"/>
          </w:tcPr>
          <w:p w14:paraId="4B044BBA" w14:textId="77777777" w:rsidR="00C32E34" w:rsidRPr="00965E2E" w:rsidRDefault="00C32E34" w:rsidP="009657B8">
            <w:pPr>
              <w:pStyle w:val="Table-Body"/>
              <w:rPr>
                <w:noProof w:val="0"/>
                <w:lang w:val="en-US"/>
              </w:rPr>
            </w:pPr>
          </w:p>
        </w:tc>
      </w:tr>
      <w:tr w:rsidR="00C32E34" w:rsidRPr="00965E2E" w14:paraId="799BEA3E" w14:textId="77777777" w:rsidTr="009657B8">
        <w:trPr>
          <w:cantSplit/>
          <w:jc w:val="center"/>
        </w:trPr>
        <w:tc>
          <w:tcPr>
            <w:tcW w:w="3024" w:type="dxa"/>
          </w:tcPr>
          <w:p w14:paraId="0CD651E7" w14:textId="77777777" w:rsidR="00C32E34" w:rsidRPr="00965E2E" w:rsidRDefault="00C32E34" w:rsidP="009657B8">
            <w:pPr>
              <w:pStyle w:val="Table-Body"/>
              <w:rPr>
                <w:noProof w:val="0"/>
                <w:lang w:val="en-US"/>
              </w:rPr>
            </w:pPr>
          </w:p>
        </w:tc>
        <w:tc>
          <w:tcPr>
            <w:tcW w:w="3024" w:type="dxa"/>
          </w:tcPr>
          <w:p w14:paraId="1510CF7B" w14:textId="77777777" w:rsidR="00C32E34" w:rsidRPr="00965E2E" w:rsidRDefault="00C32E34" w:rsidP="009657B8">
            <w:pPr>
              <w:pStyle w:val="Table-Body"/>
              <w:rPr>
                <w:noProof w:val="0"/>
                <w:lang w:val="en-US"/>
              </w:rPr>
            </w:pPr>
          </w:p>
        </w:tc>
        <w:tc>
          <w:tcPr>
            <w:tcW w:w="3024" w:type="dxa"/>
          </w:tcPr>
          <w:p w14:paraId="40F45CE1" w14:textId="77777777" w:rsidR="00C32E34" w:rsidRPr="00965E2E" w:rsidRDefault="00C32E34" w:rsidP="009657B8">
            <w:pPr>
              <w:pStyle w:val="Table-Body"/>
              <w:rPr>
                <w:noProof w:val="0"/>
                <w:lang w:val="en-US"/>
              </w:rPr>
            </w:pPr>
          </w:p>
        </w:tc>
      </w:tr>
    </w:tbl>
    <w:p w14:paraId="6D7649CD" w14:textId="77777777" w:rsidR="00C32E34" w:rsidRPr="00965E2E"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7C2E06" w:rsidRPr="00027B57" w14:paraId="116EE55E" w14:textId="77777777" w:rsidTr="009657B8">
        <w:trPr>
          <w:cantSplit/>
          <w:jc w:val="center"/>
        </w:trPr>
        <w:tc>
          <w:tcPr>
            <w:tcW w:w="4525" w:type="dxa"/>
          </w:tcPr>
          <w:p w14:paraId="77AB6D27" w14:textId="1744C390" w:rsidR="007C2E06" w:rsidRPr="007C2E06" w:rsidRDefault="007C2E06" w:rsidP="007C2E06">
            <w:pPr>
              <w:pStyle w:val="Ttulo1"/>
              <w:numPr>
                <w:ilvl w:val="0"/>
                <w:numId w:val="0"/>
              </w:numPr>
              <w:shd w:val="clear" w:color="auto" w:fill="FFFFFF"/>
              <w:spacing w:before="0" w:after="0"/>
              <w:rPr>
                <w:rFonts w:asciiTheme="minorHAnsi" w:hAnsiTheme="minorHAnsi" w:cstheme="minorHAnsi"/>
                <w:b w:val="0"/>
                <w:bCs w:val="0"/>
                <w:sz w:val="22"/>
                <w:szCs w:val="22"/>
                <w:lang w:val="es-AR"/>
              </w:rPr>
            </w:pPr>
            <w:r w:rsidRPr="00296591">
              <w:rPr>
                <w:b w:val="0"/>
                <w:bCs w:val="0"/>
                <w:sz w:val="22"/>
                <w:szCs w:val="24"/>
                <w:lang w:val="es-AR"/>
              </w:rPr>
              <w:t xml:space="preserve">Diciconario </w:t>
            </w:r>
            <w:r w:rsidRPr="00296591">
              <w:rPr>
                <w:b w:val="0"/>
                <w:bCs w:val="0"/>
                <w:sz w:val="22"/>
                <w:szCs w:val="24"/>
                <w:lang w:val="es-AR"/>
              </w:rPr>
              <w:t>crítico</w:t>
            </w:r>
            <w:r w:rsidRPr="00296591">
              <w:rPr>
                <w:b w:val="0"/>
                <w:bCs w:val="0"/>
                <w:sz w:val="22"/>
                <w:szCs w:val="24"/>
                <w:lang w:val="es-AR"/>
              </w:rPr>
              <w:t xml:space="preserve"> de dudas – Fernando</w:t>
            </w:r>
            <w:r w:rsidRPr="00296591">
              <w:rPr>
                <w:b w:val="0"/>
                <w:bCs w:val="0"/>
                <w:sz w:val="22"/>
                <w:szCs w:val="24"/>
                <w:lang w:val="es-AR"/>
              </w:rPr>
              <w:t xml:space="preserve"> a.</w:t>
            </w:r>
            <w:r w:rsidRPr="00296591">
              <w:rPr>
                <w:b w:val="0"/>
                <w:bCs w:val="0"/>
                <w:sz w:val="22"/>
                <w:szCs w:val="24"/>
                <w:lang w:val="es-AR"/>
              </w:rPr>
              <w:t xml:space="preserve"> Navarrro</w:t>
            </w:r>
          </w:p>
        </w:tc>
        <w:tc>
          <w:tcPr>
            <w:tcW w:w="4547" w:type="dxa"/>
          </w:tcPr>
          <w:p w14:paraId="06875906" w14:textId="40CBC380" w:rsidR="007C2E06" w:rsidRDefault="007C2E06" w:rsidP="007C2E06">
            <w:pPr>
              <w:pStyle w:val="Table-Body"/>
              <w:rPr>
                <w:noProof w:val="0"/>
                <w:lang w:val="en-US"/>
              </w:rPr>
            </w:pPr>
            <w:r>
              <w:rPr>
                <w:noProof w:val="0"/>
                <w:lang w:val="es-AR"/>
              </w:rPr>
              <w:t xml:space="preserve">General </w:t>
            </w:r>
          </w:p>
        </w:tc>
      </w:tr>
      <w:tr w:rsidR="007C2E06" w:rsidRPr="00027B57" w14:paraId="4045A722" w14:textId="77777777" w:rsidTr="009657B8">
        <w:trPr>
          <w:cantSplit/>
          <w:jc w:val="center"/>
        </w:trPr>
        <w:tc>
          <w:tcPr>
            <w:tcW w:w="4525" w:type="dxa"/>
          </w:tcPr>
          <w:p w14:paraId="6F968208" w14:textId="3BA4F6B5" w:rsidR="007C2E06" w:rsidRPr="00FF34EF" w:rsidRDefault="007C2E06" w:rsidP="007C2E06">
            <w:pPr>
              <w:pStyle w:val="Ttulo1"/>
              <w:numPr>
                <w:ilvl w:val="0"/>
                <w:numId w:val="0"/>
              </w:numPr>
              <w:shd w:val="clear" w:color="auto" w:fill="FFFFFF"/>
              <w:spacing w:before="0" w:after="0"/>
              <w:rPr>
                <w:rFonts w:asciiTheme="minorHAnsi" w:hAnsiTheme="minorHAnsi" w:cstheme="minorHAnsi"/>
                <w:b w:val="0"/>
                <w:bCs w:val="0"/>
                <w:sz w:val="22"/>
                <w:szCs w:val="22"/>
              </w:rPr>
            </w:pPr>
            <w:r w:rsidRPr="00FF34EF">
              <w:rPr>
                <w:rFonts w:asciiTheme="minorHAnsi" w:hAnsiTheme="minorHAnsi" w:cstheme="minorHAnsi"/>
                <w:b w:val="0"/>
                <w:bCs w:val="0"/>
                <w:sz w:val="22"/>
                <w:szCs w:val="22"/>
              </w:rPr>
              <w:t xml:space="preserve">Oxford dictionary </w:t>
            </w:r>
            <w:r w:rsidRPr="00FF34EF">
              <w:rPr>
                <w:rFonts w:asciiTheme="minorHAnsi" w:hAnsiTheme="minorHAnsi" w:cstheme="minorHAnsi"/>
                <w:b w:val="0"/>
                <w:bCs w:val="0"/>
                <w:sz w:val="22"/>
                <w:szCs w:val="22"/>
              </w:rPr>
              <w:t>A Dictionary of Food and Nutrition</w:t>
            </w:r>
            <w:r>
              <w:rPr>
                <w:rFonts w:asciiTheme="minorHAnsi" w:hAnsiTheme="minorHAnsi" w:cstheme="minorHAnsi"/>
                <w:b w:val="0"/>
                <w:bCs w:val="0"/>
                <w:sz w:val="22"/>
                <w:szCs w:val="22"/>
              </w:rPr>
              <w:t xml:space="preserve"> </w:t>
            </w:r>
            <w:r w:rsidRPr="00FF34EF">
              <w:rPr>
                <w:rStyle w:val="addmd"/>
                <w:rFonts w:asciiTheme="minorHAnsi" w:hAnsiTheme="minorHAnsi" w:cstheme="minorHAnsi"/>
                <w:b w:val="0"/>
                <w:bCs w:val="0"/>
                <w:sz w:val="22"/>
                <w:szCs w:val="22"/>
                <w:shd w:val="clear" w:color="auto" w:fill="FFFFFF"/>
              </w:rPr>
              <w:t>By David A. Bender</w:t>
            </w:r>
          </w:p>
        </w:tc>
        <w:tc>
          <w:tcPr>
            <w:tcW w:w="4547" w:type="dxa"/>
          </w:tcPr>
          <w:p w14:paraId="7C07549B" w14:textId="160D6C64" w:rsidR="007C2E06" w:rsidRPr="002169F4" w:rsidRDefault="007C2E06" w:rsidP="007C2E06">
            <w:pPr>
              <w:pStyle w:val="Table-Body"/>
              <w:rPr>
                <w:noProof w:val="0"/>
                <w:lang w:val="en-US"/>
              </w:rPr>
            </w:pPr>
            <w:r>
              <w:rPr>
                <w:noProof w:val="0"/>
                <w:lang w:val="en-US"/>
              </w:rPr>
              <w:t>General</w:t>
            </w:r>
          </w:p>
        </w:tc>
      </w:tr>
      <w:tr w:rsidR="007C2E06" w:rsidRPr="00027B57" w14:paraId="279DF6CA" w14:textId="77777777" w:rsidTr="009657B8">
        <w:trPr>
          <w:cantSplit/>
          <w:jc w:val="center"/>
        </w:trPr>
        <w:tc>
          <w:tcPr>
            <w:tcW w:w="4525" w:type="dxa"/>
          </w:tcPr>
          <w:p w14:paraId="174B03A3" w14:textId="025BB556" w:rsidR="007C2E06" w:rsidRPr="00FF34EF" w:rsidRDefault="007C2E06" w:rsidP="007C2E06">
            <w:pPr>
              <w:pStyle w:val="Ttulo1"/>
              <w:numPr>
                <w:ilvl w:val="0"/>
                <w:numId w:val="0"/>
              </w:numPr>
              <w:shd w:val="clear" w:color="auto" w:fill="FFFFFF"/>
              <w:spacing w:before="0" w:after="0"/>
              <w:rPr>
                <w:rFonts w:asciiTheme="minorHAnsi" w:hAnsiTheme="minorHAnsi" w:cstheme="minorHAnsi"/>
                <w:b w:val="0"/>
                <w:bCs w:val="0"/>
                <w:sz w:val="22"/>
                <w:szCs w:val="22"/>
                <w:lang w:val="es-AR"/>
              </w:rPr>
            </w:pPr>
            <w:r>
              <w:rPr>
                <w:rFonts w:asciiTheme="minorHAnsi" w:hAnsiTheme="minorHAnsi" w:cstheme="minorHAnsi"/>
                <w:b w:val="0"/>
                <w:bCs w:val="0"/>
                <w:sz w:val="22"/>
                <w:szCs w:val="22"/>
                <w:lang w:val="es-AR"/>
              </w:rPr>
              <w:t xml:space="preserve">Diccionary: </w:t>
            </w:r>
            <w:r w:rsidRPr="00FF34EF">
              <w:rPr>
                <w:rFonts w:asciiTheme="minorHAnsi" w:hAnsiTheme="minorHAnsi" w:cstheme="minorHAnsi"/>
                <w:b w:val="0"/>
                <w:bCs w:val="0"/>
                <w:sz w:val="22"/>
                <w:szCs w:val="22"/>
                <w:lang w:val="es-AR"/>
              </w:rPr>
              <w:t>Stedman bilingüe: diccionario de ciencias médicas: inglés-español, español</w:t>
            </w:r>
          </w:p>
          <w:p w14:paraId="4B29A1B0" w14:textId="33D73DD6" w:rsidR="007C2E06" w:rsidRPr="00FF34EF" w:rsidRDefault="007C2E06" w:rsidP="007C2E06">
            <w:pPr>
              <w:pStyle w:val="Table-Body"/>
              <w:rPr>
                <w:rFonts w:asciiTheme="minorHAnsi" w:hAnsiTheme="minorHAnsi" w:cstheme="minorHAnsi"/>
                <w:noProof w:val="0"/>
                <w:sz w:val="22"/>
                <w:szCs w:val="22"/>
                <w:lang w:val="en-US"/>
              </w:rPr>
            </w:pPr>
            <w:r w:rsidRPr="00FF34EF">
              <w:rPr>
                <w:rStyle w:val="addmd"/>
                <w:rFonts w:asciiTheme="minorHAnsi" w:hAnsiTheme="minorHAnsi" w:cstheme="minorHAnsi"/>
                <w:sz w:val="22"/>
                <w:szCs w:val="22"/>
                <w:shd w:val="clear" w:color="auto" w:fill="FFFFFF"/>
              </w:rPr>
              <w:t>Escrito por Thomas Lathrop Stedman, William K. Beatty</w:t>
            </w:r>
          </w:p>
        </w:tc>
        <w:tc>
          <w:tcPr>
            <w:tcW w:w="4547" w:type="dxa"/>
          </w:tcPr>
          <w:p w14:paraId="172CAAB7" w14:textId="4B5D56A2" w:rsidR="007C2E06" w:rsidRPr="002169F4" w:rsidRDefault="007C2E06" w:rsidP="007C2E06">
            <w:pPr>
              <w:pStyle w:val="Table-Body"/>
              <w:rPr>
                <w:noProof w:val="0"/>
                <w:lang w:val="en-US"/>
              </w:rPr>
            </w:pPr>
            <w:r>
              <w:rPr>
                <w:noProof w:val="0"/>
                <w:lang w:val="en-US"/>
              </w:rPr>
              <w:t xml:space="preserve">General </w:t>
            </w:r>
          </w:p>
        </w:tc>
      </w:tr>
      <w:tr w:rsidR="007C2E06" w:rsidRPr="00027B57" w14:paraId="429825D4" w14:textId="77777777" w:rsidTr="009657B8">
        <w:trPr>
          <w:cantSplit/>
          <w:jc w:val="center"/>
        </w:trPr>
        <w:tc>
          <w:tcPr>
            <w:tcW w:w="4525" w:type="dxa"/>
          </w:tcPr>
          <w:p w14:paraId="1C98DC76" w14:textId="77777777" w:rsidR="007C2E06" w:rsidRDefault="007C2E06" w:rsidP="007C2E06">
            <w:pPr>
              <w:pStyle w:val="Table-Body"/>
              <w:rPr>
                <w:noProof w:val="0"/>
                <w:lang w:val="en-US"/>
              </w:rPr>
            </w:pPr>
            <w:r w:rsidRPr="00FF34EF">
              <w:rPr>
                <w:noProof w:val="0"/>
                <w:lang w:val="en-US"/>
              </w:rPr>
              <w:t>Dietary Guidelines 2015-2020</w:t>
            </w:r>
            <w:r>
              <w:rPr>
                <w:noProof w:val="0"/>
                <w:lang w:val="en-US"/>
              </w:rPr>
              <w:t xml:space="preserve"> </w:t>
            </w:r>
          </w:p>
          <w:p w14:paraId="721161B8" w14:textId="752314C8" w:rsidR="007C2E06" w:rsidRPr="002169F4" w:rsidRDefault="007C2E06" w:rsidP="007C2E06">
            <w:pPr>
              <w:pStyle w:val="Table-Body"/>
              <w:rPr>
                <w:noProof w:val="0"/>
                <w:lang w:val="en-US"/>
              </w:rPr>
            </w:pPr>
            <w:r>
              <w:rPr>
                <w:noProof w:val="0"/>
                <w:lang w:val="en-US"/>
              </w:rPr>
              <w:t>Health.gov</w:t>
            </w:r>
          </w:p>
        </w:tc>
        <w:tc>
          <w:tcPr>
            <w:tcW w:w="4547" w:type="dxa"/>
          </w:tcPr>
          <w:p w14:paraId="1FDED4D8" w14:textId="0F0F473A" w:rsidR="007C2E06" w:rsidRPr="002169F4" w:rsidRDefault="007C2E06" w:rsidP="007C2E06">
            <w:pPr>
              <w:pStyle w:val="Table-Body"/>
              <w:rPr>
                <w:noProof w:val="0"/>
                <w:lang w:val="en-US"/>
              </w:rPr>
            </w:pPr>
            <w:r>
              <w:rPr>
                <w:noProof w:val="0"/>
                <w:lang w:val="en-US"/>
              </w:rPr>
              <w:t>General</w:t>
            </w:r>
          </w:p>
        </w:tc>
      </w:tr>
      <w:tr w:rsidR="00296591" w:rsidRPr="00296591" w14:paraId="2DA31C5B" w14:textId="77777777" w:rsidTr="009657B8">
        <w:trPr>
          <w:cantSplit/>
          <w:jc w:val="center"/>
        </w:trPr>
        <w:tc>
          <w:tcPr>
            <w:tcW w:w="4525" w:type="dxa"/>
          </w:tcPr>
          <w:p w14:paraId="2C5AEA7A" w14:textId="6BB19251" w:rsidR="00296591" w:rsidRPr="00296591" w:rsidRDefault="00296591" w:rsidP="00296591">
            <w:pPr>
              <w:pStyle w:val="Table-Body"/>
              <w:rPr>
                <w:noProof w:val="0"/>
                <w:lang w:val="en-US"/>
              </w:rPr>
            </w:pPr>
            <w:proofErr w:type="spellStart"/>
            <w:r>
              <w:rPr>
                <w:noProof w:val="0"/>
                <w:lang w:val="en-US"/>
              </w:rPr>
              <w:t>Diccionario</w:t>
            </w:r>
            <w:proofErr w:type="spellEnd"/>
            <w:r>
              <w:rPr>
                <w:noProof w:val="0"/>
                <w:lang w:val="en-US"/>
              </w:rPr>
              <w:t xml:space="preserve"> </w:t>
            </w:r>
            <w:proofErr w:type="spellStart"/>
            <w:r>
              <w:rPr>
                <w:noProof w:val="0"/>
                <w:lang w:val="en-US"/>
              </w:rPr>
              <w:t>Panhispánico</w:t>
            </w:r>
            <w:proofErr w:type="spellEnd"/>
            <w:r>
              <w:rPr>
                <w:noProof w:val="0"/>
                <w:lang w:val="en-US"/>
              </w:rPr>
              <w:t xml:space="preserve"> de </w:t>
            </w:r>
            <w:proofErr w:type="spellStart"/>
            <w:r>
              <w:rPr>
                <w:noProof w:val="0"/>
                <w:lang w:val="en-US"/>
              </w:rPr>
              <w:t>dudas</w:t>
            </w:r>
            <w:proofErr w:type="spellEnd"/>
            <w:r>
              <w:rPr>
                <w:noProof w:val="0"/>
                <w:lang w:val="en-US"/>
              </w:rPr>
              <w:t xml:space="preserve"> - </w:t>
            </w:r>
            <w:r w:rsidRPr="00296591">
              <w:rPr>
                <w:noProof w:val="0"/>
                <w:lang w:val="es-AR"/>
              </w:rPr>
              <w:t>2005</w:t>
            </w:r>
          </w:p>
          <w:p w14:paraId="3400F984" w14:textId="4027B3D8" w:rsidR="00296591" w:rsidRPr="00296591" w:rsidRDefault="00296591" w:rsidP="00296591">
            <w:pPr>
              <w:pStyle w:val="Table-Body"/>
              <w:rPr>
                <w:noProof w:val="0"/>
                <w:lang w:val="es-AR"/>
              </w:rPr>
            </w:pPr>
            <w:r w:rsidRPr="00296591">
              <w:rPr>
                <w:noProof w:val="0"/>
                <w:lang w:val="es-AR"/>
              </w:rPr>
              <w:t>Real Academia Española</w:t>
            </w:r>
          </w:p>
          <w:p w14:paraId="14ACED75" w14:textId="1FA4474A" w:rsidR="00296591" w:rsidRPr="00296591" w:rsidRDefault="00296591" w:rsidP="007C2E06">
            <w:pPr>
              <w:pStyle w:val="Table-Body"/>
              <w:rPr>
                <w:noProof w:val="0"/>
                <w:lang w:val="es-AR"/>
              </w:rPr>
            </w:pPr>
          </w:p>
        </w:tc>
        <w:tc>
          <w:tcPr>
            <w:tcW w:w="4547" w:type="dxa"/>
          </w:tcPr>
          <w:p w14:paraId="491E6204" w14:textId="39442988" w:rsidR="00296591" w:rsidRPr="00296591" w:rsidRDefault="00296591" w:rsidP="007C2E06">
            <w:pPr>
              <w:pStyle w:val="Table-Body"/>
              <w:rPr>
                <w:noProof w:val="0"/>
                <w:lang w:val="es-AR"/>
              </w:rPr>
            </w:pPr>
            <w:r>
              <w:rPr>
                <w:noProof w:val="0"/>
                <w:lang w:val="es-AR"/>
              </w:rPr>
              <w:t>General</w:t>
            </w:r>
          </w:p>
        </w:tc>
      </w:tr>
    </w:tbl>
    <w:p w14:paraId="61F01B2B" w14:textId="77777777" w:rsidR="00C32E34" w:rsidRPr="007C2E06" w:rsidRDefault="00C32E34" w:rsidP="00C32E34"/>
    <w:bookmarkEnd w:id="0"/>
    <w:p w14:paraId="24DBB44E" w14:textId="7B2072F8" w:rsidR="00E23080" w:rsidRDefault="00222AEE" w:rsidP="00C32E34">
      <w:proofErr w:type="spellStart"/>
      <w:r>
        <w:t>Thanks</w:t>
      </w:r>
      <w:proofErr w:type="spellEnd"/>
      <w:r>
        <w:t>!</w:t>
      </w:r>
    </w:p>
    <w:sectPr w:rsidR="00E2308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C3C321" w14:textId="77777777" w:rsidR="00D815C8" w:rsidRDefault="00D815C8">
      <w:pPr>
        <w:spacing w:after="0" w:line="240" w:lineRule="auto"/>
      </w:pPr>
      <w:r>
        <w:separator/>
      </w:r>
    </w:p>
  </w:endnote>
  <w:endnote w:type="continuationSeparator" w:id="0">
    <w:p w14:paraId="3770452E" w14:textId="77777777" w:rsidR="00D815C8" w:rsidRDefault="00D81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0DD81" w14:textId="77777777" w:rsidR="00D815C8" w:rsidRDefault="00D815C8">
      <w:pPr>
        <w:spacing w:after="0" w:line="240" w:lineRule="auto"/>
      </w:pPr>
      <w:r>
        <w:separator/>
      </w:r>
    </w:p>
  </w:footnote>
  <w:footnote w:type="continuationSeparator" w:id="0">
    <w:p w14:paraId="5D91656A" w14:textId="77777777" w:rsidR="00D815C8" w:rsidRDefault="00D815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27B57"/>
    <w:rsid w:val="00116259"/>
    <w:rsid w:val="001D5956"/>
    <w:rsid w:val="00222AEE"/>
    <w:rsid w:val="00296591"/>
    <w:rsid w:val="0029735B"/>
    <w:rsid w:val="002B46B3"/>
    <w:rsid w:val="002B4EE4"/>
    <w:rsid w:val="003B4DE8"/>
    <w:rsid w:val="00466F5A"/>
    <w:rsid w:val="00472318"/>
    <w:rsid w:val="004936AB"/>
    <w:rsid w:val="00502332"/>
    <w:rsid w:val="005216E5"/>
    <w:rsid w:val="00594C8B"/>
    <w:rsid w:val="005C4A8E"/>
    <w:rsid w:val="006512FC"/>
    <w:rsid w:val="006B63B5"/>
    <w:rsid w:val="00717925"/>
    <w:rsid w:val="00785076"/>
    <w:rsid w:val="007C2E06"/>
    <w:rsid w:val="00814892"/>
    <w:rsid w:val="00817C43"/>
    <w:rsid w:val="0083356E"/>
    <w:rsid w:val="0086047E"/>
    <w:rsid w:val="00947BA5"/>
    <w:rsid w:val="00965E2E"/>
    <w:rsid w:val="00970A9B"/>
    <w:rsid w:val="00982732"/>
    <w:rsid w:val="00992EE4"/>
    <w:rsid w:val="009F14F1"/>
    <w:rsid w:val="00A605AA"/>
    <w:rsid w:val="00A6385E"/>
    <w:rsid w:val="00A64FA3"/>
    <w:rsid w:val="00A71B72"/>
    <w:rsid w:val="00A853E0"/>
    <w:rsid w:val="00A9682A"/>
    <w:rsid w:val="00AD1A1F"/>
    <w:rsid w:val="00B92973"/>
    <w:rsid w:val="00BA1735"/>
    <w:rsid w:val="00BA77C8"/>
    <w:rsid w:val="00C26054"/>
    <w:rsid w:val="00C32E34"/>
    <w:rsid w:val="00C43D38"/>
    <w:rsid w:val="00CA3D37"/>
    <w:rsid w:val="00CE7801"/>
    <w:rsid w:val="00D70E0E"/>
    <w:rsid w:val="00D815C8"/>
    <w:rsid w:val="00E21E4E"/>
    <w:rsid w:val="00E23080"/>
    <w:rsid w:val="00E50F91"/>
    <w:rsid w:val="00ED2F8F"/>
    <w:rsid w:val="00FF34E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dmd">
    <w:name w:val="addmd"/>
    <w:basedOn w:val="Fuentedeprrafopredeter"/>
    <w:rsid w:val="00FF34EF"/>
  </w:style>
  <w:style w:type="character" w:styleId="Hipervnculo">
    <w:name w:val="Hyperlink"/>
    <w:basedOn w:val="Fuentedeprrafopredeter"/>
    <w:uiPriority w:val="99"/>
    <w:unhideWhenUsed/>
    <w:rsid w:val="00FF34EF"/>
    <w:rPr>
      <w:color w:val="0563C1" w:themeColor="hyperlink"/>
      <w:u w:val="single"/>
    </w:rPr>
  </w:style>
  <w:style w:type="character" w:styleId="Mencinsinresolver">
    <w:name w:val="Unresolved Mention"/>
    <w:basedOn w:val="Fuentedeprrafopredeter"/>
    <w:uiPriority w:val="99"/>
    <w:semiHidden/>
    <w:unhideWhenUsed/>
    <w:rsid w:val="00FF34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0362">
      <w:bodyDiv w:val="1"/>
      <w:marLeft w:val="0"/>
      <w:marRight w:val="0"/>
      <w:marTop w:val="0"/>
      <w:marBottom w:val="0"/>
      <w:divBdr>
        <w:top w:val="none" w:sz="0" w:space="0" w:color="auto"/>
        <w:left w:val="none" w:sz="0" w:space="0" w:color="auto"/>
        <w:bottom w:val="none" w:sz="0" w:space="0" w:color="auto"/>
        <w:right w:val="none" w:sz="0" w:space="0" w:color="auto"/>
      </w:divBdr>
    </w:div>
    <w:div w:id="84136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tinyurl.com/yg4rpwp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1344</Words>
  <Characters>7396</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melli stoll</cp:lastModifiedBy>
  <cp:revision>14</cp:revision>
  <dcterms:created xsi:type="dcterms:W3CDTF">2021-03-17T14:57:00Z</dcterms:created>
  <dcterms:modified xsi:type="dcterms:W3CDTF">2021-04-01T17:39:00Z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